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320" w:after="160"/>
        <w:rPr>
          <w:rFonts w:ascii="Liberation Sans" w:hAnsi="Liberation Sans" w:cs="Liberation Sans"/>
          <w:sz w:val="36"/>
          <w:szCs w:val="36"/>
          <w:lang w:val="el-GR"/>
        </w:rPr>
      </w:pPr>
      <w:r>
        <w:rPr>
          <w:rFonts w:cs="Liberation Sans" w:ascii="Liberation Sans" w:hAnsi="Liberation Sans"/>
          <w:sz w:val="36"/>
          <w:szCs w:val="36"/>
          <w:lang w:val="el-GR"/>
        </w:rPr>
        <w:t>Β Έντυπο Οικονομικής Προσφορά</w:t>
      </w:r>
    </w:p>
    <w:p>
      <w:pPr>
        <w:pStyle w:val="NormalWeb"/>
        <w:rPr/>
      </w:pPr>
      <w:r>
        <w:rPr/>
        <w:t>ΘΕΜΑ: «ΕΝΙΑΙΑ ΜΕΛΕΤΗ ΓΙΑ ΤΗΝ ΠΡΟΜΗΘΕΙΑ ΚΑΥΣΙΜΩΝ ΤΟΥ ΔΗΜΟΥ ΧΑΝΙΩΝ ΚΑΙ ΝΟΜΙΚΩΝ ΠΡΟΣΩΠΩΝ ΤΟΥ » μέσω ΑΝΟΙΧΤΟΥ ΔΙΕΘΝΗ ΔΗΜΟΣΙΟΥ ΜΕΙΟΔΟΤΙΚΟΥ ΔΙΑΓΩΝΙΣΜΟΥ με σφραγισμένες προσφορές και με κριτήριο κατακύρωσης:</w:t>
      </w:r>
    </w:p>
    <w:p>
      <w:pPr>
        <w:pStyle w:val="NormalWeb"/>
        <w:rPr/>
      </w:pPr>
      <w:r>
        <w:rPr/>
        <w:t xml:space="preserve">α) τη χαμηλότερη τιμή που προκύπτει από το προσφερόμενο μεγαλύτερο ποσοστό έκπτωσης επί τοις εκατό στη νόμιμα διαμορφούμενη κάθε φορά μέση τιμή λιανικής πώλησης τους στο Ν. Χανίων για τα υγρά καύσιμα και το υγραέριο κίνησης </w:t>
      </w:r>
      <w:r>
        <w:rPr>
          <w:lang w:val="en-US"/>
        </w:rPr>
        <w:t>LPG</w:t>
      </w:r>
      <w:r>
        <w:rPr/>
        <w:t xml:space="preserve"> και </w:t>
      </w:r>
    </w:p>
    <w:p>
      <w:pPr>
        <w:pStyle w:val="NormalWeb"/>
        <w:rPr/>
      </w:pPr>
      <w:r>
        <w:rPr/>
        <w:t>β) τη χαμηλότερη τιμή για τα υγροποιημένα καύσιμα σε φιάλες (υγραέριο – μείγμα Προπανίου και Βουτανίου)</w:t>
      </w:r>
    </w:p>
    <w:p>
      <w:pPr>
        <w:pStyle w:val="NormalWeb"/>
        <w:spacing w:before="0" w:after="0"/>
        <w:rPr/>
      </w:pPr>
      <w:r>
        <w:rPr>
          <w:b/>
          <w:bCs/>
        </w:rPr>
        <w:t xml:space="preserve">Π Ρ Ο Σ Φ Ο Ρ Α </w:t>
      </w:r>
    </w:p>
    <w:p>
      <w:pPr>
        <w:pStyle w:val="NormalWeb"/>
        <w:rPr/>
      </w:pPr>
      <w:r>
        <w:rPr/>
        <w:t xml:space="preserve">Της επιχείρησης .................................................................................................................................., </w:t>
      </w:r>
    </w:p>
    <w:p>
      <w:pPr>
        <w:pStyle w:val="NormalWeb"/>
        <w:rPr/>
      </w:pPr>
      <w:r>
        <w:rPr/>
        <w:t xml:space="preserve">έδρα: Δήμος .........................................., οδός ........................................................, αριθμός ............, </w:t>
      </w:r>
    </w:p>
    <w:p>
      <w:pPr>
        <w:pStyle w:val="NormalWeb"/>
        <w:rPr/>
      </w:pPr>
      <w:r>
        <w:rPr/>
        <w:t>τηλέφωνο: ........................................................, τηλεομοιότυπο (fax): ...............................................</w:t>
      </w:r>
    </w:p>
    <w:p>
      <w:pPr>
        <w:pStyle w:val="3"/>
        <w:rPr>
          <w:rFonts w:ascii="Liberation Sans" w:hAnsi="Liberation Sans" w:cs="Liberation Sans"/>
          <w:lang w:val="el-GR"/>
        </w:rPr>
      </w:pPr>
      <w:r>
        <w:rPr>
          <w:rFonts w:cs="Liberation Sans" w:ascii="Liberation Sans" w:hAnsi="Liberation Sans"/>
          <w:lang w:val="el-GR"/>
        </w:rPr>
        <w:t>Β.1.1 Προμήθεια καυσίμων</w:t>
      </w:r>
    </w:p>
    <w:p>
      <w:pPr>
        <w:pStyle w:val="Style17"/>
        <w:rPr/>
      </w:pPr>
      <w:r>
        <w:rPr/>
        <w:t xml:space="preserve">Φορέας Προμήθειας: ΔΗΜΟΣ ΧΑΝΙΩΝ </w:t>
      </w:r>
    </w:p>
    <w:p>
      <w:pPr>
        <w:pStyle w:val="NormalWeb"/>
        <w:rPr/>
      </w:pPr>
      <w:r>
        <w:rPr>
          <w:b/>
          <w:bCs/>
        </w:rPr>
        <w:t xml:space="preserve">Τμήμα Κ1 (Πετρέλαιο θέρμανσης Δ ΧΑΝΙΩΝ) </w:t>
      </w:r>
    </w:p>
    <w:p>
      <w:pPr>
        <w:pStyle w:val="NormalWeb"/>
        <w:rPr/>
      </w:pPr>
      <w:r>
        <w:rPr>
          <w:b/>
          <w:bCs/>
        </w:rPr>
        <w:t xml:space="preserve">CPV: 09100000-0: 09135100-5 </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Liberation Serif" w:ascii="Liberation Serif" w:hAnsi="Liberation Serif"/>
                <w:color w:val="000000"/>
                <w:sz w:val="20"/>
                <w:szCs w:val="20"/>
              </w:rPr>
              <w:t>17.338,71 €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Liberation Serif" w:ascii="Liberation Serif" w:hAnsi="Liberation Serif"/>
                <w:color w:val="000000"/>
                <w:sz w:val="20"/>
                <w:szCs w:val="20"/>
              </w:rPr>
              <w:t>4.161,29 €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Liberation Serif" w:ascii="Liberation Serif" w:hAnsi="Liberation Serif"/>
                <w:color w:val="000000"/>
                <w:sz w:val="20"/>
                <w:szCs w:val="20"/>
              </w:rPr>
              <w:t>21.500,00 €</w:t>
            </w:r>
          </w:p>
        </w:tc>
      </w:tr>
    </w:tbl>
    <w:p>
      <w:pPr>
        <w:pStyle w:val="NormalWeb"/>
        <w:spacing w:before="0" w:after="24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Πετρέλαιο θέρμανσης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19.265,23</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240"/>
        <w:rPr/>
      </w:pPr>
      <w:r>
        <w:rPr/>
      </w:r>
    </w:p>
    <w:p>
      <w:pPr>
        <w:pStyle w:val="NormalWeb"/>
        <w:spacing w:before="0" w:after="240"/>
        <w:rPr/>
      </w:pPr>
      <w:r>
        <w:rPr/>
      </w:r>
    </w:p>
    <w:p>
      <w:pPr>
        <w:pStyle w:val="NormalWeb"/>
        <w:spacing w:before="0" w:after="240"/>
        <w:rPr/>
      </w:pPr>
      <w:r>
        <w:rPr/>
      </w:r>
    </w:p>
    <w:p>
      <w:pPr>
        <w:pStyle w:val="NormalWeb"/>
        <w:rPr/>
      </w:pPr>
      <w:r>
        <w:rPr>
          <w:b/>
          <w:bCs/>
        </w:rPr>
        <w:t>Τμήμα Κ2 (Πετρέλαιο Κίνησης, βενζίνη αμόλυβδη Δ ΧΑΝΙΩΝ)</w:t>
      </w:r>
    </w:p>
    <w:p>
      <w:pPr>
        <w:pStyle w:val="NormalWeb"/>
        <w:rPr/>
      </w:pPr>
      <w:r>
        <w:rPr>
          <w:b/>
          <w:bCs/>
        </w:rPr>
        <w:t>CPV: 09100000-0: 09132100-4, 09134100-8</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Liberation Serif" w:ascii="Liberation Serif" w:hAnsi="Liberation Serif"/>
                <w:color w:val="000000"/>
                <w:sz w:val="20"/>
                <w:szCs w:val="20"/>
              </w:rPr>
              <w:t>365.322,58 €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Liberation Serif" w:ascii="Liberation Serif" w:hAnsi="Liberation Serif"/>
                <w:color w:val="000000"/>
                <w:sz w:val="20"/>
                <w:szCs w:val="20"/>
              </w:rPr>
              <w:t>87.677,42 €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Liberation Serif" w:ascii="Liberation Serif" w:hAnsi="Liberation Serif"/>
                <w:color w:val="000000"/>
                <w:sz w:val="20"/>
                <w:szCs w:val="20"/>
              </w:rPr>
              <w:t>453.000,00 €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κίνησης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color w:val="000000"/>
                <w:sz w:val="20"/>
                <w:szCs w:val="20"/>
              </w:rPr>
              <w:t>278.409,80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2</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Βενζίνη αμόλυβδη</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color w:val="000000"/>
                <w:sz w:val="20"/>
                <w:szCs w:val="20"/>
              </w:rPr>
              <w:t>33.445,41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0"/>
        <w:rPr/>
      </w:pPr>
      <w:r>
        <w:rPr/>
      </w:r>
    </w:p>
    <w:p>
      <w:pPr>
        <w:pStyle w:val="Style17"/>
        <w:rPr/>
      </w:pPr>
      <w:r>
        <w:rPr/>
        <w:t xml:space="preserve">Φορέας Προμήθειας: Σχολική Επιτροπή Πρωτοβάθμιας Εκπαίδευσης Δήμου Χανίων </w:t>
      </w:r>
    </w:p>
    <w:p>
      <w:pPr>
        <w:pStyle w:val="NormalWeb"/>
        <w:spacing w:before="0" w:after="0"/>
        <w:rPr/>
      </w:pPr>
      <w:r>
        <w:rPr>
          <w:b/>
          <w:bCs/>
        </w:rPr>
        <w:t>Τμήμα Κ3 (Πετρέλαιο θέρμανσης - Σχολ Επιτροπή Α)θμιας)</w:t>
      </w:r>
    </w:p>
    <w:p>
      <w:pPr>
        <w:pStyle w:val="NormalWeb"/>
        <w:spacing w:before="0" w:after="0"/>
        <w:rPr/>
      </w:pPr>
      <w:r>
        <w:rPr>
          <w:b/>
          <w:bCs/>
        </w:rPr>
        <w:t>CPV: 09100000-0: 09135100-5</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135.000,00 €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32.400,00 €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167.400,00 €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θέρμανσης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150.000,00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240"/>
        <w:rPr/>
      </w:pPr>
      <w:r>
        <w:rPr/>
      </w:r>
    </w:p>
    <w:p>
      <w:pPr>
        <w:pStyle w:val="NormalWeb"/>
        <w:spacing w:before="0" w:after="240"/>
        <w:rPr/>
      </w:pPr>
      <w:r>
        <w:rPr/>
      </w:r>
    </w:p>
    <w:p>
      <w:pPr>
        <w:pStyle w:val="NormalWeb"/>
        <w:spacing w:before="0" w:after="240"/>
        <w:rPr/>
      </w:pPr>
      <w:r>
        <w:rPr/>
      </w:r>
    </w:p>
    <w:p>
      <w:pPr>
        <w:pStyle w:val="NormalWeb"/>
        <w:spacing w:before="0" w:after="240"/>
        <w:rPr/>
      </w:pPr>
      <w:r>
        <w:rPr/>
      </w:r>
    </w:p>
    <w:p>
      <w:pPr>
        <w:pStyle w:val="NormalWeb"/>
        <w:spacing w:before="0" w:after="240"/>
        <w:rPr/>
      </w:pPr>
      <w:r>
        <w:rPr/>
      </w:r>
    </w:p>
    <w:p>
      <w:pPr>
        <w:pStyle w:val="Style17"/>
        <w:rPr/>
      </w:pPr>
      <w:r>
        <w:rPr/>
        <w:t xml:space="preserve">Φορέας Προμήθειας: Σχολική Επιτροπή Δευτεροβάθμιας Εκπαίδευσης Δήμου Χανίων </w:t>
      </w:r>
    </w:p>
    <w:p>
      <w:pPr>
        <w:pStyle w:val="NormalWeb"/>
        <w:spacing w:before="0" w:after="0"/>
        <w:rPr/>
      </w:pPr>
      <w:r>
        <w:rPr>
          <w:b/>
          <w:bCs/>
        </w:rPr>
        <w:t>Τμήμα Κ4 (Πετρέλαιο θέρμανσης - Σχολ Επιτροπή B)θμιας)</w:t>
      </w:r>
    </w:p>
    <w:p>
      <w:pPr>
        <w:pStyle w:val="NormalWeb"/>
        <w:spacing w:before="0" w:after="0"/>
        <w:rPr/>
      </w:pPr>
      <w:r>
        <w:rPr>
          <w:b/>
          <w:bCs/>
        </w:rPr>
        <w:t>CPV: 09100000-0: 09135100-5</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76.500,00 €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18.360,00 €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94.860,00 €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θέρμανσης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85.000,00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0"/>
        <w:rPr/>
      </w:pPr>
      <w:r>
        <w:rPr/>
      </w:r>
    </w:p>
    <w:p>
      <w:pPr>
        <w:pStyle w:val="Style17"/>
        <w:keepNext/>
        <w:rPr/>
      </w:pPr>
      <w:r>
        <w:rPr/>
        <w:t xml:space="preserve">Φορέας Προμήθειας: Δημοτικό Γηροκομείο Χανίων </w:t>
      </w:r>
    </w:p>
    <w:p>
      <w:pPr>
        <w:pStyle w:val="NormalWeb"/>
        <w:rPr/>
      </w:pPr>
      <w:r>
        <w:rPr>
          <w:b/>
          <w:bCs/>
        </w:rPr>
        <w:t>Τμήμα Κ5 (Πετρέλαιο θέρμανσης – Γηροκομείο Χανίων)</w:t>
      </w:r>
    </w:p>
    <w:p>
      <w:pPr>
        <w:pStyle w:val="NormalWeb"/>
        <w:rPr/>
      </w:pPr>
      <w:r>
        <w:rPr>
          <w:b/>
          <w:bCs/>
        </w:rPr>
        <w:t>CPV: 09100000-0: 09135100-5</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27.000,00 €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6.480,00 €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33.480,00 €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θέρμανσης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30.000,00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240"/>
        <w:rPr/>
      </w:pPr>
      <w:r>
        <w:rPr/>
      </w:r>
    </w:p>
    <w:p>
      <w:pPr>
        <w:pStyle w:val="NormalWeb"/>
        <w:spacing w:before="0" w:after="240"/>
        <w:rPr/>
      </w:pPr>
      <w:r>
        <w:rPr/>
      </w:r>
    </w:p>
    <w:p>
      <w:pPr>
        <w:pStyle w:val="NormalWeb"/>
        <w:spacing w:before="0" w:after="240"/>
        <w:rPr/>
      </w:pPr>
      <w:r>
        <w:rPr/>
      </w:r>
    </w:p>
    <w:p>
      <w:pPr>
        <w:pStyle w:val="NormalWeb"/>
        <w:spacing w:before="0" w:after="240"/>
        <w:rPr/>
      </w:pPr>
      <w:r>
        <w:rPr/>
      </w:r>
    </w:p>
    <w:p>
      <w:pPr>
        <w:pStyle w:val="NormalWeb"/>
        <w:rPr/>
      </w:pPr>
      <w:r>
        <w:rPr>
          <w:b/>
          <w:bCs/>
        </w:rPr>
        <w:t>Τμήμα Κ6 (Βενζίνη αμόλυβδη - Γηροκομείο Χανίων)</w:t>
      </w:r>
    </w:p>
    <w:p>
      <w:pPr>
        <w:pStyle w:val="NormalWeb"/>
        <w:rPr/>
      </w:pPr>
      <w:r>
        <w:rPr>
          <w:b/>
          <w:bCs/>
        </w:rPr>
        <w:t>CPV: 09100000-0: 09132100-4</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 xml:space="preserve">3.375,00 €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810,00 €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4.185,00 €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Βενζίνη αμόλυβδη</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2.500,00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spacing w:before="0" w:after="0"/>
        <w:rPr/>
      </w:pPr>
      <w:r>
        <w:rPr>
          <w:b/>
          <w:bCs/>
        </w:rPr>
        <w:t>Τμήμα Κ7 (Υγροποιημένα καύσιμα σε φιάλες- Γηροκομείο Χανίων)</w:t>
      </w:r>
    </w:p>
    <w:p>
      <w:pPr>
        <w:pStyle w:val="NormalWeb"/>
        <w:spacing w:before="0" w:after="0"/>
        <w:rPr/>
      </w:pPr>
      <w:r>
        <w:rPr>
          <w:b/>
          <w:bCs/>
        </w:rPr>
        <w:t>CPV: 09100000-0: 09122000- 0</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730,00 €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175,20 €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20"/>
                <w:szCs w:val="20"/>
              </w:rPr>
              <w:t>Σύνολο</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905,20 €</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913"/>
        <w:gridCol w:w="2409"/>
        <w:gridCol w:w="1661"/>
        <w:gridCol w:w="1661"/>
        <w:gridCol w:w="1662"/>
      </w:tblGrid>
      <w:tr>
        <w:trPr/>
        <w:tc>
          <w:tcPr>
            <w:tcW w:w="913"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Fonts w:cs="Arial" w:ascii="Arial" w:hAnsi="Arial"/>
                <w:sz w:val="20"/>
                <w:szCs w:val="20"/>
              </w:rPr>
              <w:t xml:space="preserve">αα </w:t>
            </w:r>
          </w:p>
        </w:tc>
        <w:tc>
          <w:tcPr>
            <w:tcW w:w="2409"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Fonts w:cs="Arial" w:ascii="Arial" w:hAnsi="Arial"/>
                <w:sz w:val="20"/>
                <w:szCs w:val="20"/>
              </w:rPr>
              <w:t>Είδος</w:t>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Fonts w:cs="Arial" w:ascii="Arial" w:hAnsi="Arial"/>
                <w:sz w:val="20"/>
                <w:szCs w:val="20"/>
              </w:rPr>
              <w:t>Ποσότητα (τεμάχια)</w:t>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Fonts w:cs="Arial" w:ascii="Arial" w:hAnsi="Arial"/>
                <w:sz w:val="18"/>
                <w:szCs w:val="18"/>
              </w:rPr>
              <w:t xml:space="preserve">Τιμή ανά μονάδα μέτρησης € </w:t>
            </w:r>
          </w:p>
        </w:tc>
        <w:tc>
          <w:tcPr>
            <w:tcW w:w="1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Δαπάνη (€)</w:t>
            </w:r>
          </w:p>
        </w:tc>
      </w:tr>
      <w:tr>
        <w:trPr/>
        <w:tc>
          <w:tcPr>
            <w:tcW w:w="913"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20"/>
                <w:szCs w:val="20"/>
              </w:rPr>
              <w:t>1</w:t>
            </w:r>
          </w:p>
        </w:tc>
        <w:tc>
          <w:tcPr>
            <w:tcW w:w="2409"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Υγροποιημένο καύσιμο (μείγμα προπανίου- βουτανίου) σε Φιάλες καθαρού βάρους 10 kg.</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40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Στην ανωτέρω τιμή ανά μονάδα μέτρησης δεν περιλαμβάνεται κόστος εγγυοδοσίας, καθώς το Δημοτικό Γηροκομείο Χανίων θα παρέχει κενές φιάλες προς επαναπλήρωση στον ανάδοχο</w:t>
      </w:r>
    </w:p>
    <w:p>
      <w:pPr>
        <w:pStyle w:val="Style17"/>
        <w:keepNext/>
        <w:rPr/>
      </w:pPr>
      <w:r>
        <w:rPr/>
        <w:t xml:space="preserve">Φορέας Προμήθειας: Δ.Ο.ΚΟΙ.Π.Π. </w:t>
      </w:r>
    </w:p>
    <w:p>
      <w:pPr>
        <w:pStyle w:val="NormalWeb"/>
        <w:keepNext/>
        <w:rPr/>
      </w:pPr>
      <w:r>
        <w:rPr>
          <w:b/>
          <w:bCs/>
        </w:rPr>
        <w:t>Τμήμα Κ8 (Πετρέλαιο θέρμανσης ΔΟΚΟΙΠΠ)</w:t>
      </w:r>
    </w:p>
    <w:p>
      <w:pPr>
        <w:pStyle w:val="NormalWeb"/>
        <w:keepNext/>
        <w:rPr/>
      </w:pPr>
      <w:r>
        <w:rPr>
          <w:b/>
          <w:bCs/>
        </w:rPr>
        <w:t>CPV: 09100000-0: 09135100-5</w:t>
      </w:r>
    </w:p>
    <w:p>
      <w:pPr>
        <w:pStyle w:val="NormalWeb"/>
        <w:keepNext/>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37"/>
        <w:gridCol w:w="1156"/>
        <w:gridCol w:w="623"/>
        <w:gridCol w:w="1638"/>
        <w:gridCol w:w="474"/>
        <w:gridCol w:w="1139"/>
        <w:gridCol w:w="1639"/>
      </w:tblGrid>
      <w:tr>
        <w:trPr/>
        <w:tc>
          <w:tcPr>
            <w:tcW w:w="2793" w:type="dxa"/>
            <w:gridSpan w:val="2"/>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35" w:type="dxa"/>
            <w:gridSpan w:val="3"/>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7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19.800,00 €</w:t>
            </w:r>
          </w:p>
        </w:tc>
      </w:tr>
      <w:tr>
        <w:trPr/>
        <w:tc>
          <w:tcPr>
            <w:tcW w:w="2793" w:type="dxa"/>
            <w:gridSpan w:val="2"/>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35" w:type="dxa"/>
            <w:gridSpan w:val="3"/>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7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4.752,00 €</w:t>
            </w:r>
          </w:p>
        </w:tc>
      </w:tr>
      <w:tr>
        <w:trPr/>
        <w:tc>
          <w:tcPr>
            <w:tcW w:w="2793" w:type="dxa"/>
            <w:gridSpan w:val="2"/>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35" w:type="dxa"/>
            <w:gridSpan w:val="3"/>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78" w:type="dxa"/>
            <w:gridSpan w:val="2"/>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24.552,00 €</w:t>
            </w:r>
          </w:p>
        </w:tc>
      </w:tr>
      <w:tr>
        <w:trPr/>
        <w:tc>
          <w:tcPr>
            <w:tcW w:w="1637" w:type="dxa"/>
            <w:tcBorders/>
            <w:shd w:fill="auto" w:val="clear"/>
            <w:tcMar>
              <w:top w:w="60" w:type="dxa"/>
              <w:left w:w="60" w:type="dxa"/>
              <w:bottom w:w="60" w:type="dxa"/>
              <w:right w:w="60" w:type="dxa"/>
            </w:tcMar>
          </w:tcPr>
          <w:p>
            <w:pPr>
              <w:pStyle w:val="NormalWeb"/>
              <w:spacing w:before="100" w:after="100"/>
              <w:jc w:val="left"/>
              <w:rPr/>
            </w:pPr>
            <w:r>
              <w:rPr/>
            </w:r>
          </w:p>
        </w:tc>
        <w:tc>
          <w:tcPr>
            <w:tcW w:w="1779" w:type="dxa"/>
            <w:gridSpan w:val="2"/>
            <w:tcBorders/>
            <w:shd w:fill="auto" w:val="clear"/>
            <w:tcMar>
              <w:top w:w="60" w:type="dxa"/>
              <w:left w:w="60" w:type="dxa"/>
              <w:bottom w:w="60" w:type="dxa"/>
              <w:right w:w="60" w:type="dxa"/>
            </w:tcMar>
          </w:tcPr>
          <w:p>
            <w:pPr>
              <w:pStyle w:val="NormalWeb"/>
              <w:spacing w:before="100" w:after="100"/>
              <w:jc w:val="left"/>
              <w:rPr/>
            </w:pPr>
            <w:r>
              <w:rPr/>
            </w:r>
          </w:p>
        </w:tc>
        <w:tc>
          <w:tcPr>
            <w:tcW w:w="1638" w:type="dxa"/>
            <w:tcBorders/>
            <w:shd w:fill="auto" w:val="clear"/>
            <w:tcMar>
              <w:top w:w="0" w:type="dxa"/>
              <w:left w:w="0" w:type="dxa"/>
              <w:bottom w:w="0" w:type="dxa"/>
            </w:tcMar>
          </w:tcPr>
          <w:p>
            <w:pPr>
              <w:pStyle w:val="NormalWeb"/>
              <w:spacing w:before="100" w:after="100"/>
              <w:jc w:val="left"/>
              <w:rPr/>
            </w:pPr>
            <w:r>
              <w:rPr/>
            </w:r>
          </w:p>
        </w:tc>
        <w:tc>
          <w:tcPr>
            <w:tcW w:w="3252" w:type="dxa"/>
            <w:gridSpan w:val="3"/>
            <w:tcBorders/>
            <w:shd w:fill="auto" w:val="clear"/>
            <w:tcMar>
              <w:top w:w="0" w:type="dxa"/>
              <w:left w:w="0" w:type="dxa"/>
              <w:bottom w:w="0" w:type="dxa"/>
            </w:tcMar>
          </w:tcPr>
          <w:p>
            <w:pPr>
              <w:pStyle w:val="NormalWeb"/>
              <w:spacing w:before="100" w:after="100"/>
              <w:jc w:val="left"/>
              <w:rPr/>
            </w:pPr>
            <w:r>
              <w:rPr/>
            </w:r>
          </w:p>
        </w:tc>
      </w:tr>
      <w:tr>
        <w:trPr/>
        <w:tc>
          <w:tcPr>
            <w:tcW w:w="163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779" w:type="dxa"/>
            <w:gridSpan w:val="2"/>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38"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25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37" w:type="dxa"/>
            <w:tcBorders>
              <w:left w:val="single" w:sz="6" w:space="0" w:color="000001"/>
              <w:bottom w:val="single" w:sz="6" w:space="0" w:color="000001"/>
              <w:insideH w:val="single" w:sz="6" w:space="0" w:color="000001"/>
            </w:tcBorders>
            <w:shd w:fill="auto" w:val="clear"/>
            <w:tcMar>
              <w:top w:w="60" w:type="dxa"/>
              <w:left w:w="52" w:type="dxa"/>
              <w:bottom w:w="60" w:type="dxa"/>
              <w:right w:w="60" w:type="dxa"/>
            </w:tcMar>
          </w:tcPr>
          <w:p>
            <w:pPr>
              <w:pStyle w:val="NormalWeb"/>
              <w:spacing w:before="100" w:after="100"/>
              <w:jc w:val="left"/>
              <w:rPr/>
            </w:pPr>
            <w:r>
              <w:rPr>
                <w:rFonts w:cs="Arial" w:ascii="Arial" w:hAnsi="Arial"/>
                <w:sz w:val="18"/>
                <w:szCs w:val="18"/>
              </w:rPr>
              <w:t>ΑΑ</w:t>
            </w:r>
          </w:p>
        </w:tc>
        <w:tc>
          <w:tcPr>
            <w:tcW w:w="1779" w:type="dxa"/>
            <w:gridSpan w:val="2"/>
            <w:tcBorders>
              <w:left w:val="single" w:sz="6" w:space="0" w:color="000001"/>
              <w:bottom w:val="single" w:sz="6" w:space="0" w:color="000001"/>
              <w:insideH w:val="single" w:sz="6" w:space="0" w:color="000001"/>
            </w:tcBorders>
            <w:shd w:fill="auto" w:val="clear"/>
            <w:tcMar>
              <w:top w:w="60" w:type="dxa"/>
              <w:left w:w="52" w:type="dxa"/>
              <w:bottom w:w="60" w:type="dxa"/>
              <w:right w:w="60" w:type="dxa"/>
            </w:tcMar>
          </w:tcPr>
          <w:p>
            <w:pPr>
              <w:pStyle w:val="NormalWeb"/>
              <w:spacing w:before="100" w:after="100"/>
              <w:jc w:val="left"/>
              <w:rPr/>
            </w:pPr>
            <w:r>
              <w:rPr>
                <w:rFonts w:cs="Arial" w:ascii="Arial" w:hAnsi="Arial"/>
                <w:sz w:val="18"/>
                <w:szCs w:val="18"/>
              </w:rPr>
              <w:t>Είδος</w:t>
            </w:r>
          </w:p>
        </w:tc>
        <w:tc>
          <w:tcPr>
            <w:tcW w:w="1638"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13" w:type="dxa"/>
            <w:gridSpan w:val="2"/>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3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37" w:type="dxa"/>
            <w:tcBorders>
              <w:left w:val="single" w:sz="6" w:space="0" w:color="000001"/>
              <w:bottom w:val="single" w:sz="6" w:space="0" w:color="000001"/>
              <w:insideH w:val="single" w:sz="6" w:space="0" w:color="000001"/>
            </w:tcBorders>
            <w:shd w:fill="auto" w:val="clear"/>
            <w:tcMar>
              <w:top w:w="60" w:type="dxa"/>
              <w:left w:w="52" w:type="dxa"/>
              <w:bottom w:w="60" w:type="dxa"/>
              <w:right w:w="60" w:type="dxa"/>
            </w:tcMar>
          </w:tcPr>
          <w:p>
            <w:pPr>
              <w:pStyle w:val="NormalWeb"/>
              <w:spacing w:before="100" w:after="100"/>
              <w:jc w:val="left"/>
              <w:rPr/>
            </w:pPr>
            <w:r>
              <w:rPr>
                <w:sz w:val="20"/>
                <w:szCs w:val="20"/>
              </w:rPr>
              <w:t>1</w:t>
            </w:r>
          </w:p>
        </w:tc>
        <w:tc>
          <w:tcPr>
            <w:tcW w:w="1779" w:type="dxa"/>
            <w:gridSpan w:val="2"/>
            <w:tcBorders>
              <w:left w:val="single" w:sz="6" w:space="0" w:color="000001"/>
              <w:bottom w:val="single" w:sz="6" w:space="0" w:color="000001"/>
              <w:insideH w:val="single" w:sz="6" w:space="0" w:color="000001"/>
            </w:tcBorders>
            <w:shd w:fill="auto" w:val="clear"/>
            <w:tcMar>
              <w:top w:w="60" w:type="dxa"/>
              <w:left w:w="52" w:type="dxa"/>
              <w:bottom w:w="60" w:type="dxa"/>
              <w:right w:w="60" w:type="dxa"/>
            </w:tcMar>
          </w:tcPr>
          <w:p>
            <w:pPr>
              <w:pStyle w:val="NormalWeb"/>
              <w:spacing w:before="100" w:after="100"/>
              <w:jc w:val="left"/>
              <w:rPr/>
            </w:pPr>
            <w:r>
              <w:rPr>
                <w:sz w:val="20"/>
                <w:szCs w:val="20"/>
              </w:rPr>
              <w:t>Πετρέλαιο θέρμανσης22.000,00</w:t>
            </w:r>
          </w:p>
        </w:tc>
        <w:tc>
          <w:tcPr>
            <w:tcW w:w="1638"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22.000,00</w:t>
            </w:r>
          </w:p>
        </w:tc>
        <w:tc>
          <w:tcPr>
            <w:tcW w:w="1613" w:type="dxa"/>
            <w:gridSpan w:val="2"/>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3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NormalWeb"/>
        <w:rPr/>
      </w:pPr>
      <w:r>
        <w:rPr>
          <w:b/>
          <w:bCs/>
        </w:rPr>
        <w:t>Τμήμα Κ9 (Πετρέλαιο Κίνησης ΔΟΚΟΙΠΠ)</w:t>
      </w:r>
    </w:p>
    <w:p>
      <w:pPr>
        <w:pStyle w:val="NormalWeb"/>
        <w:rPr/>
      </w:pPr>
      <w:r>
        <w:rPr>
          <w:b/>
          <w:bCs/>
        </w:rPr>
        <w:t>CPV: 09100000-0: 09134100-8</w:t>
      </w:r>
    </w:p>
    <w:p>
      <w:pPr>
        <w:pStyle w:val="NormalWeb"/>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6.205,00</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1.489,20</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7.694,20</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κίνησης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700,00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Βενζίνη αμόλυβδη</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4.000,00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Ο Φ.Π.Α. για τα παραπάνω είδη είναι: ........%</w:t>
      </w:r>
    </w:p>
    <w:p>
      <w:pPr>
        <w:pStyle w:val="Style17"/>
        <w:keepNext/>
        <w:rPr/>
      </w:pPr>
      <w:r>
        <w:rPr>
          <w:rFonts w:cs="Liberation Serif" w:ascii="Liberation Serif" w:hAnsi="Liberation Serif"/>
        </w:rPr>
        <w:t xml:space="preserve">Φορέας Προμήθειας: ΚΕΠΕΔΗΧ – ΚΑΜ </w:t>
      </w:r>
    </w:p>
    <w:p>
      <w:pPr>
        <w:pStyle w:val="NormalWeb"/>
        <w:keepNext/>
        <w:spacing w:before="0" w:after="0"/>
        <w:rPr/>
      </w:pPr>
      <w:r>
        <w:rPr>
          <w:b/>
          <w:bCs/>
        </w:rPr>
        <w:t>Τμήμα Κ10 (Πετρέλαιο Κίνησης, βενζίνη- ΚΕΠΕΔΗΧ – ΚΑΜ)</w:t>
      </w:r>
    </w:p>
    <w:p>
      <w:pPr>
        <w:pStyle w:val="NormalWeb"/>
        <w:keepNext/>
        <w:spacing w:before="0" w:after="0"/>
        <w:rPr/>
      </w:pPr>
      <w:r>
        <w:rPr>
          <w:b/>
          <w:bCs/>
        </w:rPr>
        <w:t>CPV: 09100000-0: 09132100- 4, 09134100-8, 09135100-5</w:t>
      </w:r>
    </w:p>
    <w:p>
      <w:pPr>
        <w:pStyle w:val="NormalWeb"/>
        <w:keepNext/>
        <w:rPr/>
      </w:pPr>
      <w:r>
        <w:rPr/>
        <w:t>Ενδεικτικός προϋπολογισμός:</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4.837,65</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1.161,04</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5.998,69</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κίνησης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2.805,00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Βενζίνη αμόλυβδη</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1.194,00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b/>
          <w:bCs/>
        </w:rPr>
        <w:t xml:space="preserve">Ο Φ.Π.Α. για τα παραπάνω είδη είναι: ........% </w:t>
      </w:r>
    </w:p>
    <w:p>
      <w:pPr>
        <w:pStyle w:val="NormalWeb"/>
        <w:rPr/>
      </w:pPr>
      <w:r>
        <w:rPr>
          <w:b/>
          <w:bCs/>
        </w:rPr>
        <w:t xml:space="preserve">Τμήμα Κ11 (Πετρέλαιο θέρμανσης ΚΕΠΕΔΗΧ – ΚΑΜ) </w:t>
      </w:r>
    </w:p>
    <w:p>
      <w:pPr>
        <w:pStyle w:val="NormalWeb"/>
        <w:rPr/>
      </w:pPr>
      <w:r>
        <w:rPr>
          <w:b/>
          <w:bCs/>
        </w:rPr>
        <w:t xml:space="preserve">CPV: 09100000-0: 09135100-5 </w:t>
      </w:r>
    </w:p>
    <w:p>
      <w:pPr>
        <w:pStyle w:val="NormalWeb"/>
        <w:rPr/>
      </w:pPr>
      <w:r>
        <w:rPr/>
        <w:t xml:space="preserve">Ενδεικτικός προϋπολογισμός: </w:t>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2767"/>
        <w:gridCol w:w="2770"/>
        <w:gridCol w:w="2769"/>
      </w:tblGrid>
      <w:tr>
        <w:trPr/>
        <w:tc>
          <w:tcPr>
            <w:tcW w:w="2767"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sz w:val="20"/>
                <w:szCs w:val="20"/>
              </w:rPr>
              <w:t>Σύνολο</w:t>
            </w:r>
          </w:p>
        </w:tc>
        <w:tc>
          <w:tcPr>
            <w:tcW w:w="2770"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sz w:val="20"/>
                <w:szCs w:val="20"/>
              </w:rPr>
              <w:t>2.016,00 €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24,00%</w:t>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483,84 €</w:t>
            </w:r>
          </w:p>
        </w:tc>
      </w:tr>
      <w:tr>
        <w:trPr/>
        <w:tc>
          <w:tcPr>
            <w:tcW w:w="2767"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Σύνολο με ΦΠΑ</w:t>
            </w:r>
          </w:p>
        </w:tc>
        <w:tc>
          <w:tcPr>
            <w:tcW w:w="2770"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276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sz w:val="20"/>
                <w:szCs w:val="20"/>
              </w:rPr>
              <w:t>2.499,84 €</w:t>
            </w:r>
          </w:p>
        </w:tc>
      </w:tr>
    </w:tbl>
    <w:p>
      <w:pPr>
        <w:pStyle w:val="NormalWeb"/>
        <w:spacing w:before="0" w:after="24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Πετρέλαιο θέρμανσης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2.240,00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 xml:space="preserve">Ο Φ.Π.Α. για τα παραπάνω είδη είναι: ........% </w:t>
      </w:r>
    </w:p>
    <w:p>
      <w:pPr>
        <w:pStyle w:val="NormalWeb"/>
        <w:spacing w:before="0" w:after="240"/>
        <w:rPr/>
      </w:pPr>
      <w:r>
        <w:rPr/>
      </w:r>
    </w:p>
    <w:p>
      <w:pPr>
        <w:pStyle w:val="Style17"/>
        <w:keepNext/>
        <w:rPr/>
      </w:pPr>
      <w:r>
        <w:rPr>
          <w:rFonts w:cs="Liberation Serif" w:ascii="Liberation Serif" w:hAnsi="Liberation Serif"/>
        </w:rPr>
        <w:t>Φορέας Προμήθειας: Δήμος Χανίων - Παιδική Εξοχή-Κατασκήνωση Καλαθά</w:t>
      </w:r>
    </w:p>
    <w:p>
      <w:pPr>
        <w:pStyle w:val="NormalWeb"/>
        <w:keepNext/>
        <w:spacing w:before="0" w:after="0"/>
        <w:rPr/>
      </w:pPr>
      <w:r>
        <w:rPr>
          <w:b/>
          <w:bCs/>
        </w:rPr>
        <w:t xml:space="preserve">Τμήμα Κ12 (Πετρέλαιο κίνησης, Βενζίνη αμόλυβδη - </w:t>
      </w:r>
      <w:r>
        <w:rPr>
          <w:rFonts w:cs="Liberation Serif" w:ascii="Liberation Serif" w:hAnsi="Liberation Serif"/>
          <w:b/>
          <w:bCs/>
        </w:rPr>
        <w:t xml:space="preserve">Δήμος Χανίων - </w:t>
      </w:r>
      <w:r>
        <w:rPr>
          <w:b/>
          <w:bCs/>
        </w:rPr>
        <w:t>Παιδική Εξοχή -Κατασκήνωση Καλαθά)</w:t>
      </w:r>
    </w:p>
    <w:p>
      <w:pPr>
        <w:pStyle w:val="NormalWeb"/>
        <w:keepNext/>
        <w:spacing w:before="0" w:after="0"/>
        <w:rPr/>
      </w:pPr>
      <w:r>
        <w:rPr>
          <w:b/>
          <w:bCs/>
        </w:rPr>
        <w:t>CPV: 09100000-0: 09132100- 4, 09134100-8</w:t>
      </w:r>
    </w:p>
    <w:p>
      <w:pPr>
        <w:pStyle w:val="NormalWeb"/>
        <w:keepNext/>
        <w:rPr/>
      </w:pPr>
      <w:r>
        <w:rPr/>
        <w:t>Ενδεικτικός προϋπολογισμός:</w:t>
      </w:r>
    </w:p>
    <w:tbl>
      <w:tblPr>
        <w:tblW w:w="5000" w:type="pct"/>
        <w:jc w:val="center"/>
        <w:tblInd w:w="0"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val="0000"/>
      </w:tblPr>
      <w:tblGrid>
        <w:gridCol w:w="3156"/>
        <w:gridCol w:w="3322"/>
        <w:gridCol w:w="1828"/>
      </w:tblGrid>
      <w:tr>
        <w:trPr>
          <w:trHeight w:val="360" w:hRule="atLeast"/>
        </w:trPr>
        <w:tc>
          <w:tcPr>
            <w:tcW w:w="3156" w:type="dxa"/>
            <w:tcBorders>
              <w:top w:val="single" w:sz="6" w:space="0" w:color="000001"/>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Σύνολο</w:t>
            </w:r>
          </w:p>
        </w:tc>
        <w:tc>
          <w:tcPr>
            <w:tcW w:w="3322" w:type="dxa"/>
            <w:tcBorders>
              <w:top w:val="single" w:sz="6" w:space="0" w:color="000001"/>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
          </w:p>
        </w:tc>
        <w:tc>
          <w:tcPr>
            <w:tcW w:w="182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3.720,00</w:t>
            </w:r>
          </w:p>
        </w:tc>
      </w:tr>
      <w:tr>
        <w:trPr>
          <w:trHeight w:val="372" w:hRule="atLeast"/>
        </w:trPr>
        <w:tc>
          <w:tcPr>
            <w:tcW w:w="3156"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ΦΠΑ</w:t>
            </w:r>
          </w:p>
        </w:tc>
        <w:tc>
          <w:tcPr>
            <w:tcW w:w="3322"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0,24</w:t>
            </w:r>
          </w:p>
        </w:tc>
        <w:tc>
          <w:tcPr>
            <w:tcW w:w="1828"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892,80</w:t>
            </w:r>
          </w:p>
        </w:tc>
      </w:tr>
      <w:tr>
        <w:trPr>
          <w:trHeight w:val="360" w:hRule="atLeast"/>
        </w:trPr>
        <w:tc>
          <w:tcPr>
            <w:tcW w:w="3156"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Σύνολο με ΦΠΑ</w:t>
            </w:r>
          </w:p>
        </w:tc>
        <w:tc>
          <w:tcPr>
            <w:tcW w:w="3322"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
          </w:p>
        </w:tc>
        <w:tc>
          <w:tcPr>
            <w:tcW w:w="1828"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4.612,80</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1661"/>
        <w:gridCol w:w="1661"/>
        <w:gridCol w:w="1661"/>
        <w:gridCol w:w="1661"/>
        <w:gridCol w:w="1662"/>
      </w:tblGrid>
      <w:tr>
        <w:trPr/>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1,00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Πετρέλαιο κίνησης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3.000,00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r>
        <w:trPr/>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2,00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Βενζίνη αμόλυβδη</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Liberation Serif" w:ascii="Liberation Serif" w:hAnsi="Liberation Serif"/>
                <w:sz w:val="20"/>
                <w:szCs w:val="20"/>
              </w:rPr>
              <w:t>200,00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 xml:space="preserve">Ο Φ.Π.Α. για τα παραπάνω είδη είναι: ........% </w:t>
      </w:r>
    </w:p>
    <w:p>
      <w:pPr>
        <w:pStyle w:val="NormalWeb"/>
        <w:spacing w:before="0" w:after="0"/>
        <w:rPr/>
      </w:pPr>
      <w:r>
        <w:rPr>
          <w:rFonts w:cs="Liberation Serif" w:ascii="Liberation Serif" w:hAnsi="Liberation Serif"/>
          <w:b/>
          <w:bCs/>
        </w:rPr>
        <w:t>Τμήμα Κ13 (Υγραέριο κίνησης LPG- Δήμος Χανίων – Παιδική Εξοχή-Κατασκήνωση Καλαθά)</w:t>
      </w:r>
    </w:p>
    <w:p>
      <w:pPr>
        <w:pStyle w:val="NormalWeb"/>
        <w:keepNext/>
        <w:spacing w:before="0" w:after="0"/>
        <w:rPr/>
      </w:pPr>
      <w:r>
        <w:rPr>
          <w:rFonts w:cs="Liberation Serif" w:ascii="Liberation Serif" w:hAnsi="Liberation Serif"/>
          <w:b/>
          <w:bCs/>
        </w:rPr>
        <w:t xml:space="preserve">CPV: 09100000-0: </w:t>
      </w:r>
      <w:r>
        <w:rPr>
          <w:b/>
          <w:bCs/>
        </w:rPr>
        <w:t>09133000-0</w:t>
      </w:r>
    </w:p>
    <w:p>
      <w:pPr>
        <w:pStyle w:val="NormalWeb"/>
        <w:keepNext/>
        <w:rPr/>
      </w:pPr>
      <w:r>
        <w:rPr/>
        <w:t>Ενδεικτικός προϋπολογισμός:</w:t>
      </w:r>
    </w:p>
    <w:tbl>
      <w:tblPr>
        <w:tblW w:w="9636" w:type="dxa"/>
        <w:jc w:val="left"/>
        <w:tblInd w:w="0"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0" w:type="dxa"/>
        </w:tblCellMar>
        <w:tblLook w:val="0000"/>
      </w:tblPr>
      <w:tblGrid>
        <w:gridCol w:w="2643"/>
        <w:gridCol w:w="4578"/>
        <w:gridCol w:w="2415"/>
      </w:tblGrid>
      <w:tr>
        <w:trPr>
          <w:trHeight w:val="360" w:hRule="atLeast"/>
        </w:trPr>
        <w:tc>
          <w:tcPr>
            <w:tcW w:w="2643" w:type="dxa"/>
            <w:tcBorders>
              <w:top w:val="single" w:sz="6" w:space="0" w:color="000001"/>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Σύνολο</w:t>
            </w:r>
          </w:p>
        </w:tc>
        <w:tc>
          <w:tcPr>
            <w:tcW w:w="4578" w:type="dxa"/>
            <w:tcBorders>
              <w:top w:val="single" w:sz="6" w:space="0" w:color="000001"/>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
          </w:p>
        </w:tc>
        <w:tc>
          <w:tcPr>
            <w:tcW w:w="24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1.600,00</w:t>
            </w:r>
          </w:p>
        </w:tc>
      </w:tr>
      <w:tr>
        <w:trPr>
          <w:trHeight w:val="372" w:hRule="atLeast"/>
        </w:trPr>
        <w:tc>
          <w:tcPr>
            <w:tcW w:w="2643"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ΦΠΑ</w:t>
            </w:r>
          </w:p>
        </w:tc>
        <w:tc>
          <w:tcPr>
            <w:tcW w:w="4578"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0,24</w:t>
            </w:r>
          </w:p>
        </w:tc>
        <w:tc>
          <w:tcPr>
            <w:tcW w:w="2415"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384,00</w:t>
            </w:r>
          </w:p>
        </w:tc>
      </w:tr>
      <w:tr>
        <w:trPr>
          <w:trHeight w:val="360" w:hRule="atLeast"/>
        </w:trPr>
        <w:tc>
          <w:tcPr>
            <w:tcW w:w="2643"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Σύνολο με ΦΠΑ</w:t>
            </w:r>
          </w:p>
        </w:tc>
        <w:tc>
          <w:tcPr>
            <w:tcW w:w="4578" w:type="dxa"/>
            <w:tcBorders>
              <w:left w:val="single" w:sz="6" w:space="0" w:color="000001"/>
              <w:bottom w:val="single" w:sz="6" w:space="0" w:color="000001"/>
              <w:insideH w:val="single" w:sz="6" w:space="0" w:color="000001"/>
            </w:tcBorders>
            <w:shd w:fill="auto" w:val="clear"/>
            <w:tcMar>
              <w:left w:w="-7" w:type="dxa"/>
            </w:tcMar>
            <w:vAlign w:val="bottom"/>
          </w:tcPr>
          <w:p>
            <w:pPr>
              <w:pStyle w:val="NormalWeb"/>
              <w:spacing w:before="100" w:after="100"/>
              <w:jc w:val="left"/>
              <w:rPr/>
            </w:pPr>
            <w:r>
              <w:rPr/>
            </w:r>
          </w:p>
        </w:tc>
        <w:tc>
          <w:tcPr>
            <w:tcW w:w="2415"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bottom"/>
          </w:tcPr>
          <w:p>
            <w:pPr>
              <w:pStyle w:val="NormalWeb"/>
              <w:spacing w:before="100" w:after="100"/>
              <w:jc w:val="left"/>
              <w:rPr/>
            </w:pPr>
            <w:r>
              <w:rPr>
                <w:rFonts w:cs="Liberation Serif" w:ascii="Liberation Serif" w:hAnsi="Liberation Serif"/>
                <w:sz w:val="20"/>
                <w:szCs w:val="20"/>
              </w:rPr>
              <w:t>1.984,00</w:t>
            </w:r>
          </w:p>
        </w:tc>
      </w:tr>
    </w:tbl>
    <w:p>
      <w:pPr>
        <w:pStyle w:val="NormalWeb"/>
        <w:spacing w:before="0" w:after="0"/>
        <w:rPr/>
      </w:pPr>
      <w:r>
        <w:rPr/>
      </w:r>
    </w:p>
    <w:tbl>
      <w:tblPr>
        <w:tblW w:w="5000" w:type="pct"/>
        <w:jc w:val="left"/>
        <w:tblInd w:w="-3" w:type="dxa"/>
        <w:tblBorders>
          <w:top w:val="single" w:sz="6" w:space="0" w:color="000001"/>
          <w:left w:val="single" w:sz="6" w:space="0" w:color="000001"/>
          <w:bottom w:val="single" w:sz="6" w:space="0" w:color="000001"/>
          <w:insideH w:val="single" w:sz="6" w:space="0" w:color="000001"/>
        </w:tblBorders>
        <w:tblCellMar>
          <w:top w:w="57" w:type="dxa"/>
          <w:left w:w="49" w:type="dxa"/>
          <w:bottom w:w="57" w:type="dxa"/>
          <w:right w:w="0" w:type="dxa"/>
        </w:tblCellMar>
        <w:tblLook w:val="0000"/>
      </w:tblPr>
      <w:tblGrid>
        <w:gridCol w:w="664"/>
        <w:gridCol w:w="2658"/>
        <w:gridCol w:w="1661"/>
        <w:gridCol w:w="1661"/>
        <w:gridCol w:w="1662"/>
      </w:tblGrid>
      <w:tr>
        <w:trPr/>
        <w:tc>
          <w:tcPr>
            <w:tcW w:w="664"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2658"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1661" w:type="dxa"/>
            <w:tcBorders>
              <w:top w:val="single" w:sz="6" w:space="0" w:color="000001"/>
              <w:left w:val="single" w:sz="6" w:space="0" w:color="000001"/>
              <w:bottom w:val="single" w:sz="6" w:space="0" w:color="000001"/>
              <w:insideH w:val="single" w:sz="6" w:space="0" w:color="000001"/>
            </w:tcBorders>
            <w:shd w:fill="auto" w:val="clear"/>
            <w:tcMar>
              <w:left w:w="49" w:type="dxa"/>
            </w:tcMar>
          </w:tcPr>
          <w:p>
            <w:pPr>
              <w:pStyle w:val="NormalWeb"/>
              <w:spacing w:before="100" w:after="100"/>
              <w:jc w:val="left"/>
              <w:rPr/>
            </w:pPr>
            <w:r>
              <w:rPr/>
            </w:r>
          </w:p>
        </w:tc>
        <w:tc>
          <w:tcPr>
            <w:tcW w:w="33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9" w:type="dxa"/>
              <w:right w:w="57" w:type="dxa"/>
            </w:tcMar>
          </w:tcPr>
          <w:p>
            <w:pPr>
              <w:pStyle w:val="NormalWeb"/>
              <w:spacing w:before="100" w:after="100"/>
              <w:jc w:val="left"/>
              <w:rPr/>
            </w:pPr>
            <w:r>
              <w:rPr>
                <w:rFonts w:cs="Arial" w:ascii="Arial" w:hAnsi="Arial"/>
                <w:sz w:val="18"/>
                <w:szCs w:val="18"/>
              </w:rPr>
              <w:t>Ποσοστό έκπτωσης* ανά μονάδα μέτρησης (L)</w:t>
            </w:r>
          </w:p>
        </w:tc>
      </w:tr>
      <w:tr>
        <w:trPr/>
        <w:tc>
          <w:tcPr>
            <w:tcW w:w="664"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ΑΑ</w:t>
            </w:r>
          </w:p>
        </w:tc>
        <w:tc>
          <w:tcPr>
            <w:tcW w:w="2658"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Είδος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Ποσότητα λτ</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Fonts w:cs="Arial" w:ascii="Arial" w:hAnsi="Arial"/>
                <w:sz w:val="18"/>
                <w:szCs w:val="18"/>
              </w:rPr>
              <w:t>Αριθμητικώς</w:t>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Fonts w:cs="Arial" w:ascii="Arial" w:hAnsi="Arial"/>
                <w:sz w:val="18"/>
                <w:szCs w:val="18"/>
              </w:rPr>
              <w:t>Ολογράφως</w:t>
            </w:r>
          </w:p>
        </w:tc>
      </w:tr>
      <w:tr>
        <w:trPr/>
        <w:tc>
          <w:tcPr>
            <w:tcW w:w="664"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1,00</w:t>
            </w:r>
          </w:p>
        </w:tc>
        <w:tc>
          <w:tcPr>
            <w:tcW w:w="2658"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Υγραέριο LPG σε δεξαμενή στις εγκαταστάσεις της δομής.</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sz w:val="20"/>
                <w:szCs w:val="20"/>
              </w:rPr>
              <w:t>2.000,00</w:t>
            </w:r>
          </w:p>
        </w:tc>
        <w:tc>
          <w:tcPr>
            <w:tcW w:w="1661" w:type="dxa"/>
            <w:tcBorders>
              <w:left w:val="single" w:sz="6" w:space="0" w:color="000001"/>
              <w:bottom w:val="single" w:sz="6" w:space="0" w:color="000001"/>
              <w:insideH w:val="single" w:sz="6" w:space="0" w:color="000001"/>
            </w:tcBorders>
            <w:shd w:fill="auto" w:val="clear"/>
            <w:tcMar>
              <w:top w:w="0" w:type="dxa"/>
              <w:left w:w="49" w:type="dxa"/>
            </w:tcMar>
          </w:tcPr>
          <w:p>
            <w:pPr>
              <w:pStyle w:val="NormalWeb"/>
              <w:spacing w:before="100" w:after="100"/>
              <w:jc w:val="left"/>
              <w:rPr/>
            </w:pPr>
            <w:r>
              <w:rPr/>
            </w:r>
          </w:p>
        </w:tc>
        <w:tc>
          <w:tcPr>
            <w:tcW w:w="166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49" w:type="dxa"/>
              <w:right w:w="57" w:type="dxa"/>
            </w:tcMar>
          </w:tcPr>
          <w:p>
            <w:pPr>
              <w:pStyle w:val="NormalWeb"/>
              <w:spacing w:before="100" w:after="100"/>
              <w:jc w:val="left"/>
              <w:rPr/>
            </w:pPr>
            <w:r>
              <w:rPr/>
            </w:r>
          </w:p>
        </w:tc>
      </w:tr>
    </w:tbl>
    <w:p>
      <w:pPr>
        <w:pStyle w:val="NormalWeb"/>
        <w:rPr/>
      </w:pPr>
      <w:r>
        <w:rPr/>
        <w:t>*</w:t>
      </w:r>
      <w:r>
        <w:rPr>
          <w:sz w:val="20"/>
          <w:szCs w:val="20"/>
        </w:rPr>
        <w:t>επί της μέσης τιμής λιανικής πώλησης σε €/l την ημέρα παράδοσή τους, όπως αυτή προσδιορίζεται από το Τμ. Εμπορίου της Διεύθυνσης Ανάπτυξης της Περιφερειακής Ενότητας Χανίων της Περιφέρειας Κρήτης</w:t>
      </w:r>
      <w:r>
        <w:rPr/>
        <w:t xml:space="preserve">. </w:t>
      </w:r>
    </w:p>
    <w:p>
      <w:pPr>
        <w:pStyle w:val="NormalWeb"/>
        <w:rPr/>
      </w:pPr>
      <w:r>
        <w:rPr/>
        <w:t xml:space="preserve">Ο Φ.Π.Α. για τα παραπάνω είδη είναι: ........% </w:t>
      </w:r>
    </w:p>
    <w:p>
      <w:pPr>
        <w:pStyle w:val="Normal"/>
        <w:spacing w:before="0" w:after="120"/>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swiss"/>
    <w:pitch w:val="variable"/>
  </w:font>
  <w:font w:name="Times New Roman">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9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28c8"/>
    <w:pPr>
      <w:widowControl/>
      <w:suppressAutoHyphens w:val="true"/>
      <w:bidi w:val="0"/>
      <w:spacing w:lineRule="auto" w:line="240" w:before="0" w:after="120"/>
      <w:jc w:val="both"/>
    </w:pPr>
    <w:rPr>
      <w:rFonts w:ascii="Calibri" w:hAnsi="Calibri" w:eastAsia="Times New Roman" w:cs="Calibri" w:asciiTheme="minorHAnsi" w:hAnsiTheme="minorHAnsi"/>
      <w:color w:val="auto"/>
      <w:sz w:val="22"/>
      <w:szCs w:val="24"/>
      <w:lang w:val="en-GB" w:eastAsia="zh-CN" w:bidi="ar-SA"/>
    </w:rPr>
  </w:style>
  <w:style w:type="paragraph" w:styleId="1">
    <w:name w:val="Επικεφαλίδα 1"/>
    <w:basedOn w:val="Normal"/>
    <w:link w:val="1Char"/>
    <w:qFormat/>
    <w:rsid w:val="001b28c8"/>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3">
    <w:name w:val="Επικεφαλίδα 3"/>
    <w:basedOn w:val="Normal"/>
    <w:link w:val="3Char"/>
    <w:qFormat/>
    <w:rsid w:val="001b28c8"/>
    <w:pPr>
      <w:keepNext/>
      <w:spacing w:before="240" w:after="60"/>
      <w:ind w:left="567" w:hanging="567"/>
      <w:outlineLvl w:val="2"/>
    </w:pPr>
    <w:rPr>
      <w:rFonts w:ascii="Arial" w:hAnsi="Arial" w:cs="Times New Roman"/>
      <w:b/>
      <w:bCs/>
      <w:szCs w:val="26"/>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1b28c8"/>
    <w:rPr>
      <w:rFonts w:ascii="Arial" w:hAnsi="Arial" w:eastAsia="Times New Roman" w:cs="Arial"/>
      <w:b/>
      <w:bCs/>
      <w:color w:val="333399"/>
      <w:sz w:val="28"/>
      <w:szCs w:val="32"/>
      <w:lang w:val="en-US" w:eastAsia="zh-CN"/>
    </w:rPr>
  </w:style>
  <w:style w:type="character" w:styleId="3Char" w:customStyle="1">
    <w:name w:val="Επικεφαλίδα 3 Char"/>
    <w:basedOn w:val="DefaultParagraphFont"/>
    <w:link w:val="3"/>
    <w:qFormat/>
    <w:rsid w:val="001b28c8"/>
    <w:rPr>
      <w:rFonts w:ascii="Arial" w:hAnsi="Arial" w:eastAsia="Times New Roman" w:cs="Times New Roman"/>
      <w:b/>
      <w:bCs/>
      <w:szCs w:val="26"/>
      <w:lang w:val="en-GB" w:eastAsia="zh-CN"/>
    </w:rPr>
  </w:style>
  <w:style w:type="paragraph" w:styleId="Style12">
    <w:name w:val="Επικεφαλίδα"/>
    <w:basedOn w:val="Normal"/>
    <w:next w:val="Style13"/>
    <w:qFormat/>
    <w:pPr>
      <w:keepNext/>
      <w:spacing w:before="240" w:after="120"/>
    </w:pPr>
    <w:rPr>
      <w:rFonts w:ascii="Liberation Sans" w:hAnsi="Liberation Sans" w:eastAsia="Microsoft YaHei" w:cs="Lucida Sans"/>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Lucida Sans"/>
    </w:rPr>
  </w:style>
  <w:style w:type="paragraph" w:styleId="Style15">
    <w:name w:val="Υπόμνημα"/>
    <w:basedOn w:val="Normal"/>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NormalWeb">
    <w:name w:val="Normal (Web)"/>
    <w:basedOn w:val="Normal"/>
    <w:qFormat/>
    <w:rsid w:val="001b28c8"/>
    <w:pPr>
      <w:spacing w:before="100" w:after="100"/>
      <w:jc w:val="left"/>
    </w:pPr>
    <w:rPr>
      <w:rFonts w:ascii="Times New Roman" w:hAnsi="Times New Roman" w:cs="Times New Roman"/>
      <w:sz w:val="24"/>
      <w:lang w:val="el-GR"/>
    </w:rPr>
  </w:style>
  <w:style w:type="paragraph" w:styleId="Style17" w:customStyle="1">
    <w:name w:val="φορεας"/>
    <w:basedOn w:val="Normal"/>
    <w:qFormat/>
    <w:rsid w:val="001b28c8"/>
    <w:pPr>
      <w:suppressAutoHyphens w:val="false"/>
      <w:spacing w:lineRule="auto" w:line="288" w:beforeAutospacing="1" w:after="142"/>
    </w:pPr>
    <w:rPr>
      <w:rFonts w:ascii="Times New Roman" w:hAnsi="Times New Roman" w:cs="Times New Roman"/>
      <w:sz w:val="24"/>
      <w:lang w:val="el-GR" w:eastAsia="el-G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2017-12-09T08:07:00Z</dcterms:created>
  <dc:creator>spiti</dc:creator>
  <dc:language>el-GR</dc:language>
  <cp:lastModifiedBy>spiti</cp:lastModifiedBy>
  <dcterms:modified xsi:type="dcterms:W3CDTF">2017-12-09T08:08:00Z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